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B5B0" w14:textId="7435DC11" w:rsidR="00280FD1" w:rsidRPr="00120B50" w:rsidRDefault="00280FD1" w:rsidP="00120B50">
      <w:pPr>
        <w:tabs>
          <w:tab w:val="num" w:pos="720"/>
        </w:tabs>
        <w:autoSpaceDE w:val="0"/>
        <w:autoSpaceDN w:val="0"/>
        <w:ind w:left="720" w:hanging="720"/>
        <w:rPr>
          <w:b/>
          <w:sz w:val="24"/>
        </w:rPr>
      </w:pPr>
      <w:r w:rsidRPr="00120B50">
        <w:rPr>
          <w:b/>
          <w:sz w:val="24"/>
        </w:rPr>
        <w:t xml:space="preserve">Instructions for FWP5311 </w:t>
      </w:r>
      <w:r w:rsidR="008B70FD" w:rsidRPr="00120B50">
        <w:rPr>
          <w:b/>
          <w:sz w:val="24"/>
        </w:rPr>
        <w:t>Spreadsheet</w:t>
      </w:r>
      <w:r w:rsidRPr="00120B50">
        <w:rPr>
          <w:b/>
          <w:sz w:val="24"/>
        </w:rPr>
        <w:t>:</w:t>
      </w:r>
    </w:p>
    <w:p w14:paraId="03B251D5" w14:textId="5148620C" w:rsidR="008A15AA" w:rsidRDefault="008A15AA" w:rsidP="00280FD1">
      <w:pPr>
        <w:tabs>
          <w:tab w:val="num" w:pos="720"/>
        </w:tabs>
        <w:autoSpaceDE w:val="0"/>
        <w:autoSpaceDN w:val="0"/>
        <w:ind w:left="720" w:hanging="360"/>
      </w:pPr>
    </w:p>
    <w:p w14:paraId="05981E35" w14:textId="2D2FAF0B" w:rsidR="004E7F44" w:rsidRDefault="004E7F44" w:rsidP="00280FD1">
      <w:pPr>
        <w:tabs>
          <w:tab w:val="num" w:pos="720"/>
        </w:tabs>
        <w:autoSpaceDE w:val="0"/>
        <w:autoSpaceDN w:val="0"/>
        <w:ind w:left="720" w:hanging="360"/>
      </w:pPr>
      <w:r>
        <w:t xml:space="preserve">A new </w:t>
      </w:r>
      <w:r w:rsidR="008B70FD">
        <w:t>document</w:t>
      </w:r>
      <w:r>
        <w:t>/spreadsheet is needed for each SEID</w:t>
      </w:r>
      <w:r w:rsidR="008B70FD">
        <w:t>,</w:t>
      </w:r>
      <w:r>
        <w:t xml:space="preserve"> JSF p/n</w:t>
      </w:r>
      <w:r w:rsidR="008B70FD">
        <w:t>, or dash number</w:t>
      </w:r>
      <w:r>
        <w:t xml:space="preserve"> (version of the unit).</w:t>
      </w:r>
    </w:p>
    <w:p w14:paraId="195B0786" w14:textId="543C60F1" w:rsidR="004070E6" w:rsidRDefault="004070E6" w:rsidP="00280FD1">
      <w:pPr>
        <w:tabs>
          <w:tab w:val="num" w:pos="720"/>
        </w:tabs>
        <w:autoSpaceDE w:val="0"/>
        <w:autoSpaceDN w:val="0"/>
        <w:ind w:left="720" w:hanging="360"/>
      </w:pPr>
    </w:p>
    <w:p w14:paraId="5CF667D2" w14:textId="77777777" w:rsidR="004070E6" w:rsidRPr="004070E6" w:rsidRDefault="004070E6" w:rsidP="004070E6">
      <w:pPr>
        <w:autoSpaceDE w:val="0"/>
        <w:autoSpaceDN w:val="0"/>
        <w:rPr>
          <w:rFonts w:eastAsia="Times New Roman"/>
          <w:b/>
        </w:rPr>
      </w:pPr>
      <w:r w:rsidRPr="004070E6">
        <w:rPr>
          <w:rFonts w:eastAsia="Times New Roman"/>
          <w:b/>
        </w:rPr>
        <w:t>If no hazardous materials are present in the unit, state “This part contains no hazardous materials as defined by the JSF Banned and Restricted Materials List” on the first line of the table.</w:t>
      </w:r>
    </w:p>
    <w:p w14:paraId="2B5FDF69" w14:textId="77777777" w:rsidR="004070E6" w:rsidRDefault="004070E6" w:rsidP="00280FD1">
      <w:pPr>
        <w:tabs>
          <w:tab w:val="num" w:pos="720"/>
        </w:tabs>
        <w:autoSpaceDE w:val="0"/>
        <w:autoSpaceDN w:val="0"/>
        <w:ind w:left="720" w:hanging="360"/>
      </w:pPr>
    </w:p>
    <w:p w14:paraId="5D3B849B" w14:textId="7DD809F5" w:rsidR="00280FD1" w:rsidRDefault="00280FD1" w:rsidP="00280FD1">
      <w:pPr>
        <w:tabs>
          <w:tab w:val="num" w:pos="720"/>
        </w:tabs>
        <w:autoSpaceDE w:val="0"/>
        <w:autoSpaceDN w:val="0"/>
        <w:ind w:left="720" w:hanging="360"/>
      </w:pPr>
    </w:p>
    <w:p w14:paraId="6402E5CD" w14:textId="0F232719" w:rsidR="008B70FD" w:rsidRPr="008B70FD" w:rsidRDefault="008B70FD" w:rsidP="00280FD1">
      <w:pPr>
        <w:tabs>
          <w:tab w:val="num" w:pos="720"/>
        </w:tabs>
        <w:autoSpaceDE w:val="0"/>
        <w:autoSpaceDN w:val="0"/>
        <w:ind w:left="720" w:hanging="360"/>
        <w:rPr>
          <w:b/>
        </w:rPr>
      </w:pPr>
      <w:r w:rsidRPr="008B70FD">
        <w:rPr>
          <w:b/>
        </w:rPr>
        <w:t>Heading:</w:t>
      </w:r>
    </w:p>
    <w:p w14:paraId="12B51B10" w14:textId="55E2CA96" w:rsidR="008B70FD" w:rsidRDefault="008B70FD" w:rsidP="007178C0">
      <w:pPr>
        <w:numPr>
          <w:ilvl w:val="0"/>
          <w:numId w:val="1"/>
        </w:numPr>
        <w:autoSpaceDE w:val="0"/>
        <w:autoSpaceDN w:val="0"/>
        <w:rPr>
          <w:rFonts w:eastAsia="Times New Roman"/>
        </w:rPr>
      </w:pPr>
      <w:r>
        <w:rPr>
          <w:rFonts w:eastAsia="Times New Roman"/>
        </w:rPr>
        <w:t>Product Name – If applicable, include both the manufacturer’s part name and number, along with the JSF name and part number</w:t>
      </w:r>
    </w:p>
    <w:p w14:paraId="7882CB88" w14:textId="00CF94A2" w:rsidR="008B70FD" w:rsidRDefault="008B70FD" w:rsidP="007178C0">
      <w:pPr>
        <w:numPr>
          <w:ilvl w:val="0"/>
          <w:numId w:val="1"/>
        </w:numPr>
        <w:autoSpaceDE w:val="0"/>
        <w:autoSpaceDN w:val="0"/>
        <w:rPr>
          <w:rFonts w:eastAsia="Times New Roman"/>
        </w:rPr>
      </w:pPr>
      <w:r>
        <w:rPr>
          <w:rFonts w:eastAsia="Times New Roman"/>
        </w:rPr>
        <w:t xml:space="preserve">Manufacturer and/or Vendor Name/Contact Info </w:t>
      </w:r>
    </w:p>
    <w:p w14:paraId="50F33F8D" w14:textId="529FB070" w:rsidR="007178C0" w:rsidRDefault="007178C0" w:rsidP="007178C0">
      <w:pPr>
        <w:numPr>
          <w:ilvl w:val="0"/>
          <w:numId w:val="1"/>
        </w:numPr>
        <w:autoSpaceDE w:val="0"/>
        <w:autoSpaceDN w:val="0"/>
        <w:rPr>
          <w:rFonts w:eastAsia="Times New Roman"/>
        </w:rPr>
      </w:pPr>
      <w:r>
        <w:rPr>
          <w:rFonts w:eastAsia="Times New Roman"/>
        </w:rPr>
        <w:t>IPT Contact Name and Phone – LM Buyer information</w:t>
      </w:r>
    </w:p>
    <w:p w14:paraId="5340A808" w14:textId="727B1198" w:rsidR="008B70FD" w:rsidRDefault="008B70FD" w:rsidP="008B70FD">
      <w:pPr>
        <w:autoSpaceDE w:val="0"/>
        <w:autoSpaceDN w:val="0"/>
        <w:ind w:left="360"/>
        <w:rPr>
          <w:rFonts w:eastAsia="Times New Roman"/>
        </w:rPr>
      </w:pPr>
    </w:p>
    <w:p w14:paraId="765EFA7D" w14:textId="27D3089E" w:rsidR="008B70FD" w:rsidRPr="008B70FD" w:rsidRDefault="008B70FD" w:rsidP="008B70FD">
      <w:pPr>
        <w:autoSpaceDE w:val="0"/>
        <w:autoSpaceDN w:val="0"/>
        <w:ind w:left="360"/>
        <w:rPr>
          <w:rFonts w:eastAsia="Times New Roman"/>
          <w:b/>
        </w:rPr>
      </w:pPr>
      <w:r w:rsidRPr="008B70FD">
        <w:rPr>
          <w:rFonts w:eastAsia="Times New Roman"/>
          <w:b/>
        </w:rPr>
        <w:t>Form:</w:t>
      </w:r>
    </w:p>
    <w:p w14:paraId="09E8FF1B" w14:textId="77777777" w:rsidR="007C2B15" w:rsidRDefault="007C2B15" w:rsidP="00280FD1">
      <w:pPr>
        <w:numPr>
          <w:ilvl w:val="0"/>
          <w:numId w:val="1"/>
        </w:numPr>
        <w:autoSpaceDE w:val="0"/>
        <w:autoSpaceDN w:val="0"/>
        <w:rPr>
          <w:rFonts w:eastAsia="Times New Roman"/>
        </w:rPr>
      </w:pPr>
      <w:r>
        <w:rPr>
          <w:rFonts w:eastAsia="Times New Roman"/>
        </w:rPr>
        <w:t>General Instructions:</w:t>
      </w:r>
    </w:p>
    <w:p w14:paraId="484320DC" w14:textId="4A8F5EEA" w:rsidR="00280FD1" w:rsidRDefault="00280FD1" w:rsidP="007C2B15">
      <w:pPr>
        <w:numPr>
          <w:ilvl w:val="1"/>
          <w:numId w:val="1"/>
        </w:numPr>
        <w:autoSpaceDE w:val="0"/>
        <w:autoSpaceDN w:val="0"/>
        <w:rPr>
          <w:rFonts w:eastAsia="Times New Roman"/>
        </w:rPr>
      </w:pPr>
      <w:r>
        <w:rPr>
          <w:rFonts w:eastAsia="Times New Roman"/>
        </w:rPr>
        <w:t xml:space="preserve">When filling out the form, the bold italicized </w:t>
      </w:r>
      <w:r w:rsidR="008B70FD">
        <w:rPr>
          <w:rFonts w:eastAsia="Times New Roman"/>
        </w:rPr>
        <w:t>columns</w:t>
      </w:r>
      <w:r>
        <w:rPr>
          <w:rFonts w:eastAsia="Times New Roman"/>
        </w:rPr>
        <w:t xml:space="preserve"> are required.  </w:t>
      </w:r>
    </w:p>
    <w:p w14:paraId="79390202" w14:textId="69536D78" w:rsidR="007C2B15" w:rsidRDefault="007C2B15" w:rsidP="007C2B15">
      <w:pPr>
        <w:numPr>
          <w:ilvl w:val="1"/>
          <w:numId w:val="1"/>
        </w:numPr>
        <w:autoSpaceDE w:val="0"/>
        <w:autoSpaceDN w:val="0"/>
        <w:rPr>
          <w:rFonts w:eastAsia="Times New Roman"/>
        </w:rPr>
      </w:pPr>
      <w:r>
        <w:rPr>
          <w:rFonts w:eastAsia="Times New Roman"/>
        </w:rPr>
        <w:t>Each material and drawing need a new line, but all materials and drawings for a single part number can be on the same form.</w:t>
      </w:r>
    </w:p>
    <w:p w14:paraId="409B80CA" w14:textId="75583757" w:rsidR="007C2B15" w:rsidRPr="004070E6" w:rsidRDefault="007C2B15" w:rsidP="007C2B15">
      <w:pPr>
        <w:numPr>
          <w:ilvl w:val="1"/>
          <w:numId w:val="1"/>
        </w:numPr>
        <w:autoSpaceDE w:val="0"/>
        <w:autoSpaceDN w:val="0"/>
        <w:rPr>
          <w:rFonts w:eastAsia="Times New Roman"/>
          <w:b/>
        </w:rPr>
      </w:pPr>
      <w:r w:rsidRPr="004070E6">
        <w:rPr>
          <w:rFonts w:eastAsia="Times New Roman"/>
          <w:b/>
        </w:rPr>
        <w:t>If no hazardous materials are present in the unit, state “This part contains no hazardous materials as defined by the JSF Banned and Restricted Materials List” on the first line of the table.</w:t>
      </w:r>
    </w:p>
    <w:p w14:paraId="52507728" w14:textId="50F561B1" w:rsidR="00280FD1" w:rsidRDefault="00280FD1" w:rsidP="00280FD1">
      <w:pPr>
        <w:numPr>
          <w:ilvl w:val="0"/>
          <w:numId w:val="1"/>
        </w:numPr>
        <w:autoSpaceDE w:val="0"/>
        <w:autoSpaceDN w:val="0"/>
        <w:rPr>
          <w:rFonts w:eastAsia="Times New Roman"/>
        </w:rPr>
      </w:pPr>
      <w:r w:rsidRPr="00656A80">
        <w:rPr>
          <w:rFonts w:eastAsia="Times New Roman"/>
          <w:b/>
          <w:i/>
        </w:rPr>
        <w:t>Subassembly</w:t>
      </w:r>
      <w:r>
        <w:rPr>
          <w:rFonts w:eastAsia="Times New Roman"/>
        </w:rPr>
        <w:t xml:space="preserve"> – What part of the item contains the restricted material?  This can be the name on the drawing but will also preferably include the name of the next higher assembly.  </w:t>
      </w:r>
    </w:p>
    <w:p w14:paraId="696A79CC" w14:textId="77777777" w:rsidR="008B70FD" w:rsidRDefault="008B70FD" w:rsidP="008B70FD">
      <w:pPr>
        <w:numPr>
          <w:ilvl w:val="0"/>
          <w:numId w:val="1"/>
        </w:numPr>
        <w:autoSpaceDE w:val="0"/>
        <w:autoSpaceDN w:val="0"/>
        <w:rPr>
          <w:rFonts w:eastAsia="Times New Roman"/>
        </w:rPr>
      </w:pPr>
      <w:r w:rsidRPr="00656A80">
        <w:rPr>
          <w:rFonts w:eastAsia="Times New Roman"/>
          <w:b/>
          <w:i/>
        </w:rPr>
        <w:t>Drawing #</w:t>
      </w:r>
      <w:r>
        <w:rPr>
          <w:rFonts w:eastAsia="Times New Roman"/>
        </w:rPr>
        <w:t xml:space="preserve"> - Drawing numbers should be listed if there is a drawing package.  This typically is not applicable to COTS items.</w:t>
      </w:r>
    </w:p>
    <w:p w14:paraId="52FE8E55" w14:textId="76DF71F5" w:rsidR="001E4CCB" w:rsidRDefault="001E4CCB" w:rsidP="00280FD1">
      <w:pPr>
        <w:numPr>
          <w:ilvl w:val="0"/>
          <w:numId w:val="1"/>
        </w:numPr>
        <w:autoSpaceDE w:val="0"/>
        <w:autoSpaceDN w:val="0"/>
        <w:rPr>
          <w:rFonts w:eastAsia="Times New Roman"/>
        </w:rPr>
      </w:pPr>
      <w:r>
        <w:rPr>
          <w:rFonts w:eastAsia="Times New Roman"/>
        </w:rPr>
        <w:t>Specification Number – MIL spec of mixture or application method if applicable</w:t>
      </w:r>
    </w:p>
    <w:p w14:paraId="0915BE1C" w14:textId="73EFB340" w:rsidR="007178C0" w:rsidRDefault="007178C0" w:rsidP="00280FD1">
      <w:pPr>
        <w:numPr>
          <w:ilvl w:val="0"/>
          <w:numId w:val="1"/>
        </w:numPr>
        <w:autoSpaceDE w:val="0"/>
        <w:autoSpaceDN w:val="0"/>
        <w:rPr>
          <w:rFonts w:eastAsia="Times New Roman"/>
        </w:rPr>
      </w:pPr>
      <w:r w:rsidRPr="00656A80">
        <w:rPr>
          <w:rFonts w:eastAsia="Times New Roman"/>
          <w:b/>
          <w:i/>
        </w:rPr>
        <w:t>Restricted Material</w:t>
      </w:r>
      <w:r>
        <w:rPr>
          <w:rFonts w:eastAsia="Times New Roman"/>
        </w:rPr>
        <w:t xml:space="preserve"> – Be specific.  For instance, if a primer contains strontium chromate, list strontium chromate and its CAS number (found on the SDS) instead of Chromium only.  Our customer reporting requirements differ based on the specific compounds present.</w:t>
      </w:r>
      <w:r w:rsidR="00CA46AB">
        <w:rPr>
          <w:rFonts w:eastAsia="Times New Roman"/>
        </w:rPr>
        <w:t xml:space="preserve"> </w:t>
      </w:r>
    </w:p>
    <w:p w14:paraId="22B70AD5" w14:textId="77777777" w:rsidR="00656A80" w:rsidRPr="00656A80" w:rsidRDefault="00656A80" w:rsidP="00656A80">
      <w:pPr>
        <w:numPr>
          <w:ilvl w:val="1"/>
          <w:numId w:val="1"/>
        </w:numPr>
        <w:autoSpaceDE w:val="0"/>
        <w:autoSpaceDN w:val="0"/>
        <w:rPr>
          <w:rFonts w:eastAsia="Times New Roman"/>
        </w:rPr>
      </w:pPr>
      <w:r>
        <w:rPr>
          <w:rFonts w:eastAsia="Times New Roman"/>
        </w:rPr>
        <w:t>JSF Banned and Restricted Materials List</w:t>
      </w:r>
      <w:r w:rsidRPr="00656A80">
        <w:t xml:space="preserve"> </w:t>
      </w:r>
    </w:p>
    <w:bookmarkStart w:id="0" w:name="_MON_1721622087"/>
    <w:bookmarkEnd w:id="0"/>
    <w:p w14:paraId="4DBC9097" w14:textId="3187DCB8" w:rsidR="00656A80" w:rsidRDefault="00932E56" w:rsidP="00932E56">
      <w:pPr>
        <w:autoSpaceDE w:val="0"/>
        <w:autoSpaceDN w:val="0"/>
        <w:ind w:left="1440"/>
        <w:rPr>
          <w:rFonts w:eastAsia="Times New Roman"/>
        </w:rPr>
      </w:pPr>
      <w:r>
        <w:rPr>
          <w:rFonts w:eastAsia="Times New Roman"/>
        </w:rPr>
        <w:object w:dxaOrig="1517" w:dyaOrig="999" w14:anchorId="442B4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50.25pt" o:ole="">
            <v:imagedata r:id="rId7" o:title=""/>
          </v:shape>
          <o:OLEObject Type="Embed" ProgID="Word.Document.12" ShapeID="_x0000_i1025" DrawAspect="Icon" ObjectID="_1721622097" r:id="rId8">
            <o:FieldCodes>\s</o:FieldCodes>
          </o:OLEObject>
        </w:object>
      </w:r>
    </w:p>
    <w:p w14:paraId="0180B6BA" w14:textId="6F76DDDE" w:rsidR="00656A80" w:rsidRDefault="00656A80" w:rsidP="00656A80">
      <w:pPr>
        <w:numPr>
          <w:ilvl w:val="1"/>
          <w:numId w:val="1"/>
        </w:numPr>
        <w:autoSpaceDE w:val="0"/>
        <w:autoSpaceDN w:val="0"/>
        <w:rPr>
          <w:rFonts w:eastAsia="Times New Roman"/>
        </w:rPr>
      </w:pPr>
      <w:r>
        <w:rPr>
          <w:rFonts w:eastAsia="Times New Roman"/>
        </w:rPr>
        <w:t>Take careful note of “and compounds” rows.  Only the CAS number of the element is listed.  However, all compounds containing that element should be listed on the declaration form.</w:t>
      </w:r>
    </w:p>
    <w:p w14:paraId="5BBEA7DE" w14:textId="384A4932" w:rsidR="00656A80" w:rsidRDefault="00656A80" w:rsidP="00656A80">
      <w:pPr>
        <w:pStyle w:val="ListParagraph"/>
        <w:numPr>
          <w:ilvl w:val="0"/>
          <w:numId w:val="1"/>
        </w:numPr>
        <w:autoSpaceDE w:val="0"/>
        <w:autoSpaceDN w:val="0"/>
        <w:rPr>
          <w:rFonts w:eastAsia="Times New Roman"/>
        </w:rPr>
      </w:pPr>
      <w:r w:rsidRPr="00656A80">
        <w:rPr>
          <w:rFonts w:eastAsia="Times New Roman"/>
          <w:b/>
          <w:i/>
        </w:rPr>
        <w:t>CAS No.</w:t>
      </w:r>
      <w:r>
        <w:rPr>
          <w:rFonts w:eastAsia="Times New Roman"/>
        </w:rPr>
        <w:t xml:space="preserve"> – This is the chemical abstract services number given to all chemical compounds which acts as a unique identifier.  It is found on SDS and on the Banned and Restricted Materials List (see note about compounds in 8b).</w:t>
      </w:r>
    </w:p>
    <w:p w14:paraId="7725FE3D" w14:textId="3C7B281D" w:rsidR="00656A80" w:rsidRPr="00656A80" w:rsidRDefault="00656A80" w:rsidP="00656A80">
      <w:pPr>
        <w:pStyle w:val="ListParagraph"/>
        <w:numPr>
          <w:ilvl w:val="0"/>
          <w:numId w:val="1"/>
        </w:numPr>
        <w:autoSpaceDE w:val="0"/>
        <w:autoSpaceDN w:val="0"/>
        <w:rPr>
          <w:rFonts w:eastAsia="Times New Roman"/>
        </w:rPr>
      </w:pPr>
      <w:r>
        <w:rPr>
          <w:rFonts w:eastAsia="Times New Roman"/>
        </w:rPr>
        <w:t>Common Name - Can be used to list simplified names for organic compounds or other identifying properties (i.e. hexavalent chromium).</w:t>
      </w:r>
    </w:p>
    <w:p w14:paraId="2F586465" w14:textId="4911B2D1" w:rsidR="007178C0" w:rsidRDefault="007178C0" w:rsidP="00280FD1">
      <w:pPr>
        <w:numPr>
          <w:ilvl w:val="0"/>
          <w:numId w:val="1"/>
        </w:numPr>
        <w:autoSpaceDE w:val="0"/>
        <w:autoSpaceDN w:val="0"/>
        <w:rPr>
          <w:rFonts w:eastAsia="Times New Roman"/>
        </w:rPr>
      </w:pPr>
      <w:r>
        <w:rPr>
          <w:rFonts w:eastAsia="Times New Roman"/>
        </w:rPr>
        <w:t xml:space="preserve">Other information – Attach the SDS for the product used (paint, primer, </w:t>
      </w:r>
      <w:r w:rsidR="004823C0">
        <w:rPr>
          <w:rFonts w:eastAsia="Times New Roman"/>
        </w:rPr>
        <w:t>etc.)</w:t>
      </w:r>
      <w:r w:rsidR="002D6C4B">
        <w:rPr>
          <w:rFonts w:eastAsia="Times New Roman"/>
        </w:rPr>
        <w:t>,</w:t>
      </w:r>
      <w:r>
        <w:rPr>
          <w:rFonts w:eastAsia="Times New Roman"/>
        </w:rPr>
        <w:t xml:space="preserve"> if applicable.</w:t>
      </w:r>
    </w:p>
    <w:p w14:paraId="0E459E1C" w14:textId="77777777" w:rsidR="00280FD1" w:rsidRDefault="00280FD1" w:rsidP="00280FD1">
      <w:pPr>
        <w:numPr>
          <w:ilvl w:val="0"/>
          <w:numId w:val="1"/>
        </w:numPr>
        <w:autoSpaceDE w:val="0"/>
        <w:autoSpaceDN w:val="0"/>
        <w:rPr>
          <w:rFonts w:eastAsia="Times New Roman"/>
        </w:rPr>
      </w:pPr>
      <w:r>
        <w:rPr>
          <w:rFonts w:eastAsia="Times New Roman"/>
        </w:rPr>
        <w:t xml:space="preserve">Anticipated DoD Maintenance Level – If maintenance is required on this portion of the unit, where is it expected to take place?  If multiple types of maintenance may need to be done at different locations, please check all boxes that apply. </w:t>
      </w:r>
    </w:p>
    <w:p w14:paraId="1FCF5B16" w14:textId="77777777" w:rsidR="00280FD1" w:rsidRDefault="00280FD1" w:rsidP="00280FD1">
      <w:pPr>
        <w:numPr>
          <w:ilvl w:val="1"/>
          <w:numId w:val="1"/>
        </w:numPr>
        <w:autoSpaceDE w:val="0"/>
        <w:autoSpaceDN w:val="0"/>
        <w:rPr>
          <w:rFonts w:eastAsia="Times New Roman"/>
        </w:rPr>
      </w:pPr>
      <w:r>
        <w:rPr>
          <w:rFonts w:eastAsia="Times New Roman"/>
        </w:rPr>
        <w:lastRenderedPageBreak/>
        <w:t>I – Flight Line</w:t>
      </w:r>
    </w:p>
    <w:p w14:paraId="70E61655" w14:textId="65FE4AAC" w:rsidR="00280FD1" w:rsidRDefault="00280FD1" w:rsidP="00280FD1">
      <w:pPr>
        <w:numPr>
          <w:ilvl w:val="1"/>
          <w:numId w:val="1"/>
        </w:numPr>
        <w:autoSpaceDE w:val="0"/>
        <w:autoSpaceDN w:val="0"/>
        <w:rPr>
          <w:rFonts w:eastAsia="Times New Roman"/>
        </w:rPr>
      </w:pPr>
      <w:r>
        <w:rPr>
          <w:rFonts w:eastAsia="Times New Roman"/>
        </w:rPr>
        <w:t xml:space="preserve">II – </w:t>
      </w:r>
      <w:proofErr w:type="gramStart"/>
      <w:r>
        <w:rPr>
          <w:rFonts w:eastAsia="Times New Roman"/>
        </w:rPr>
        <w:t>Shop  (</w:t>
      </w:r>
      <w:proofErr w:type="gramEnd"/>
      <w:r>
        <w:rPr>
          <w:rFonts w:eastAsia="Times New Roman"/>
        </w:rPr>
        <w:t xml:space="preserve">probably the most common for </w:t>
      </w:r>
      <w:r w:rsidR="008A6069">
        <w:rPr>
          <w:rFonts w:eastAsia="Times New Roman"/>
        </w:rPr>
        <w:t>support equipment items</w:t>
      </w:r>
      <w:r>
        <w:rPr>
          <w:rFonts w:eastAsia="Times New Roman"/>
        </w:rPr>
        <w:t>)</w:t>
      </w:r>
    </w:p>
    <w:p w14:paraId="678387F1" w14:textId="72A03846" w:rsidR="008B70FD" w:rsidRDefault="008B70FD" w:rsidP="00280FD1">
      <w:pPr>
        <w:numPr>
          <w:ilvl w:val="1"/>
          <w:numId w:val="1"/>
        </w:numPr>
        <w:autoSpaceDE w:val="0"/>
        <w:autoSpaceDN w:val="0"/>
        <w:rPr>
          <w:rFonts w:eastAsia="Times New Roman"/>
        </w:rPr>
      </w:pPr>
      <w:r>
        <w:rPr>
          <w:rFonts w:eastAsia="Times New Roman"/>
        </w:rPr>
        <w:t>Vendor – Choose this if no maintenance will be performed in the field.</w:t>
      </w:r>
    </w:p>
    <w:p w14:paraId="0686F82D" w14:textId="196A5EB6" w:rsidR="00EC0A5B" w:rsidRDefault="00656A80" w:rsidP="00656A80">
      <w:pPr>
        <w:pStyle w:val="ListParagraph"/>
        <w:numPr>
          <w:ilvl w:val="0"/>
          <w:numId w:val="1"/>
        </w:numPr>
      </w:pPr>
      <w:r>
        <w:t xml:space="preserve">Manufacturing Operations </w:t>
      </w:r>
      <w:r w:rsidR="007C2B15">
        <w:t>–</w:t>
      </w:r>
      <w:r>
        <w:t xml:space="preserve"> </w:t>
      </w:r>
      <w:r w:rsidR="007C2B15">
        <w:t>Does anything need to be changed on the unit after initial purchase but before use?  This line is typically not applicable to Support Equipment.</w:t>
      </w:r>
    </w:p>
    <w:p w14:paraId="1EE080CA" w14:textId="77777777" w:rsidR="007C2B15" w:rsidRDefault="007C2B15" w:rsidP="007C2B15">
      <w:pPr>
        <w:pStyle w:val="ListParagraph"/>
      </w:pPr>
    </w:p>
    <w:p w14:paraId="1C73F0FA" w14:textId="559EFBC8" w:rsidR="004E7F44" w:rsidRDefault="004E7F44">
      <w:r>
        <w:t>If you have questions while completing the FWP5311, please contac</w:t>
      </w:r>
      <w:r w:rsidR="00B643FC">
        <w:t xml:space="preserve">t Product ESH at </w:t>
      </w:r>
      <w:hyperlink r:id="rId9" w:history="1">
        <w:r w:rsidR="00B643FC" w:rsidRPr="00032E52">
          <w:rPr>
            <w:rStyle w:val="Hyperlink"/>
          </w:rPr>
          <w:t>tls-product-esoh.gr-rms@lmco.com</w:t>
        </w:r>
      </w:hyperlink>
      <w:r w:rsidR="00B643FC">
        <w:t xml:space="preserve"> .  </w:t>
      </w:r>
    </w:p>
    <w:sectPr w:rsidR="004E7F4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C874" w14:textId="77777777" w:rsidR="00545AD3" w:rsidRDefault="00545AD3" w:rsidP="001E4CCB">
      <w:r>
        <w:separator/>
      </w:r>
    </w:p>
  </w:endnote>
  <w:endnote w:type="continuationSeparator" w:id="0">
    <w:p w14:paraId="504CCD3B" w14:textId="77777777" w:rsidR="00545AD3" w:rsidRDefault="00545AD3" w:rsidP="001E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24E6" w14:textId="77777777" w:rsidR="001E4CCB" w:rsidRDefault="001E4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03FB" w14:textId="77777777" w:rsidR="001E4CCB" w:rsidRDefault="001E4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18DF" w14:textId="77777777" w:rsidR="001E4CCB" w:rsidRDefault="001E4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2820" w14:textId="77777777" w:rsidR="00545AD3" w:rsidRDefault="00545AD3" w:rsidP="001E4CCB">
      <w:r>
        <w:separator/>
      </w:r>
    </w:p>
  </w:footnote>
  <w:footnote w:type="continuationSeparator" w:id="0">
    <w:p w14:paraId="6E90F36E" w14:textId="77777777" w:rsidR="00545AD3" w:rsidRDefault="00545AD3" w:rsidP="001E4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A8BD" w14:textId="77777777" w:rsidR="001E4CCB" w:rsidRDefault="001E4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F6CC" w14:textId="77777777" w:rsidR="001E4CCB" w:rsidRDefault="001E4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B36A" w14:textId="77777777" w:rsidR="001E4CCB" w:rsidRDefault="001E4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6141"/>
    <w:multiLevelType w:val="multilevel"/>
    <w:tmpl w:val="88ACB4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D1"/>
    <w:rsid w:val="00120B50"/>
    <w:rsid w:val="00173645"/>
    <w:rsid w:val="001E4CCB"/>
    <w:rsid w:val="00280FD1"/>
    <w:rsid w:val="002D6C4B"/>
    <w:rsid w:val="004070E6"/>
    <w:rsid w:val="004823C0"/>
    <w:rsid w:val="004E7F44"/>
    <w:rsid w:val="00545AD3"/>
    <w:rsid w:val="005634DA"/>
    <w:rsid w:val="00656A80"/>
    <w:rsid w:val="00696D7E"/>
    <w:rsid w:val="00706407"/>
    <w:rsid w:val="007178C0"/>
    <w:rsid w:val="007C2B15"/>
    <w:rsid w:val="007F585F"/>
    <w:rsid w:val="008A15AA"/>
    <w:rsid w:val="008A6069"/>
    <w:rsid w:val="008B70FD"/>
    <w:rsid w:val="00932E56"/>
    <w:rsid w:val="00B643FC"/>
    <w:rsid w:val="00B71E41"/>
    <w:rsid w:val="00CA46AB"/>
    <w:rsid w:val="00EC0A5B"/>
    <w:rsid w:val="00FA2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524C"/>
  <w15:chartTrackingRefBased/>
  <w15:docId w15:val="{8C922BE2-C559-4DD0-BA08-2E0E9A27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D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CCB"/>
    <w:pPr>
      <w:tabs>
        <w:tab w:val="center" w:pos="4680"/>
        <w:tab w:val="right" w:pos="9360"/>
      </w:tabs>
    </w:pPr>
  </w:style>
  <w:style w:type="character" w:customStyle="1" w:styleId="HeaderChar">
    <w:name w:val="Header Char"/>
    <w:basedOn w:val="DefaultParagraphFont"/>
    <w:link w:val="Header"/>
    <w:uiPriority w:val="99"/>
    <w:rsid w:val="001E4CCB"/>
    <w:rPr>
      <w:rFonts w:ascii="Calibri" w:hAnsi="Calibri" w:cs="Calibri"/>
    </w:rPr>
  </w:style>
  <w:style w:type="paragraph" w:styleId="Footer">
    <w:name w:val="footer"/>
    <w:basedOn w:val="Normal"/>
    <w:link w:val="FooterChar"/>
    <w:uiPriority w:val="99"/>
    <w:unhideWhenUsed/>
    <w:rsid w:val="001E4CCB"/>
    <w:pPr>
      <w:tabs>
        <w:tab w:val="center" w:pos="4680"/>
        <w:tab w:val="right" w:pos="9360"/>
      </w:tabs>
    </w:pPr>
  </w:style>
  <w:style w:type="character" w:customStyle="1" w:styleId="FooterChar">
    <w:name w:val="Footer Char"/>
    <w:basedOn w:val="DefaultParagraphFont"/>
    <w:link w:val="Footer"/>
    <w:uiPriority w:val="99"/>
    <w:rsid w:val="001E4CCB"/>
    <w:rPr>
      <w:rFonts w:ascii="Calibri" w:hAnsi="Calibri" w:cs="Calibri"/>
    </w:rPr>
  </w:style>
  <w:style w:type="paragraph" w:styleId="ListParagraph">
    <w:name w:val="List Paragraph"/>
    <w:basedOn w:val="Normal"/>
    <w:uiPriority w:val="34"/>
    <w:qFormat/>
    <w:rsid w:val="00656A80"/>
    <w:pPr>
      <w:ind w:left="720"/>
      <w:contextualSpacing/>
    </w:pPr>
  </w:style>
  <w:style w:type="character" w:styleId="Hyperlink">
    <w:name w:val="Hyperlink"/>
    <w:basedOn w:val="DefaultParagraphFont"/>
    <w:uiPriority w:val="99"/>
    <w:unhideWhenUsed/>
    <w:rsid w:val="00B643FC"/>
    <w:rPr>
      <w:color w:val="0563C1" w:themeColor="hyperlink"/>
      <w:u w:val="single"/>
    </w:rPr>
  </w:style>
  <w:style w:type="character" w:styleId="UnresolvedMention">
    <w:name w:val="Unresolved Mention"/>
    <w:basedOn w:val="DefaultParagraphFont"/>
    <w:uiPriority w:val="99"/>
    <w:semiHidden/>
    <w:unhideWhenUsed/>
    <w:rsid w:val="00B64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ls-product-esoh.gr-rms@lmc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dcterms:created xsi:type="dcterms:W3CDTF">2022-08-10T12:21:00Z</dcterms:created>
  <dcterms:modified xsi:type="dcterms:W3CDTF">2022-08-10T12:35:00Z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LFWC\e317617</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ies>
</file>